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BD" w:rsidRDefault="00507ABD" w:rsidP="00507ABD">
      <w:pPr>
        <w:jc w:val="center"/>
        <w:rPr>
          <w:rFonts w:ascii="宋体" w:hAnsi="宋体"/>
          <w:b/>
          <w:sz w:val="44"/>
          <w:szCs w:val="44"/>
        </w:rPr>
      </w:pPr>
    </w:p>
    <w:p w:rsidR="00C81BFE" w:rsidRPr="00507ABD" w:rsidRDefault="00507ABD" w:rsidP="00507ABD">
      <w:pPr>
        <w:jc w:val="center"/>
        <w:rPr>
          <w:rFonts w:ascii="黑体" w:eastAsia="黑体" w:hAnsi="黑体" w:cs="黑体"/>
          <w:b/>
          <w:color w:val="000000"/>
          <w:kern w:val="0"/>
          <w:sz w:val="44"/>
          <w:szCs w:val="44"/>
        </w:rPr>
      </w:pPr>
      <w:r w:rsidRPr="00507ABD">
        <w:rPr>
          <w:rFonts w:ascii="宋体" w:hAnsi="宋体" w:hint="eastAsia"/>
          <w:b/>
          <w:sz w:val="44"/>
          <w:szCs w:val="44"/>
        </w:rPr>
        <w:t>诉源治理问题研究</w:t>
      </w:r>
    </w:p>
    <w:p w:rsidR="00274C5A" w:rsidRPr="00453728" w:rsidRDefault="00274C5A" w:rsidP="00453728">
      <w:pPr>
        <w:ind w:firstLineChars="200" w:firstLine="560"/>
        <w:rPr>
          <w:rFonts w:ascii="宋体"/>
          <w:sz w:val="28"/>
          <w:szCs w:val="28"/>
        </w:rPr>
      </w:pPr>
      <w:r w:rsidRPr="00453728">
        <w:rPr>
          <w:sz w:val="28"/>
          <w:szCs w:val="28"/>
        </w:rPr>
        <w:t>诉源治理是多元化纠纷解决机制在新形势下的重要理念转型</w:t>
      </w:r>
      <w:r w:rsidRPr="00453728">
        <w:rPr>
          <w:rFonts w:ascii="宋体"/>
          <w:sz w:val="28"/>
          <w:szCs w:val="28"/>
        </w:rPr>
        <w:t>,</w:t>
      </w:r>
      <w:r w:rsidR="00F05471" w:rsidRPr="00453728">
        <w:rPr>
          <w:rFonts w:hint="eastAsia"/>
          <w:sz w:val="28"/>
          <w:szCs w:val="28"/>
        </w:rPr>
        <w:t>就是要把非诉讼纠纷解决记住挺在前面，加强矛盾纠纷源头预防、前段化解、关口把控，完善预防性法律制度，尽量避免纠纷发展至“诉”之层级，以达到从源头上减少诉讼增量的目标。同是诉源治理也是国家治理体系和治理能力现代化的重要内容，也是防止我国成为“诉讼大国”的有效途径。它</w:t>
      </w:r>
      <w:r w:rsidR="00B91DA7" w:rsidRPr="00453728">
        <w:rPr>
          <w:rFonts w:hint="eastAsia"/>
          <w:sz w:val="28"/>
          <w:szCs w:val="28"/>
        </w:rPr>
        <w:t>有机融合了我国传统“无讼”文化与现代法治精神，也契合了当前世界各国纠纷解决体系变革的发展潮流。未来发展法相，应当是坚持党的领导，全面构建党政主导的诉源治理大格局，同时从观念上、立法上、体质机制上彻底重构解纷体系，推动纠纷化解模式从“诉讼中心主义”转向“诉讼与非诉并行主义”，真正形成“社会调解优先，法院诉讼断后”的递进式矛盾纠纷体系。</w:t>
      </w:r>
    </w:p>
    <w:p w:rsidR="00274C5A" w:rsidRPr="00453728" w:rsidRDefault="00274C5A" w:rsidP="00453728">
      <w:pPr>
        <w:ind w:firstLineChars="200" w:firstLine="560"/>
        <w:rPr>
          <w:rFonts w:ascii="宋体"/>
          <w:sz w:val="28"/>
          <w:szCs w:val="28"/>
        </w:rPr>
      </w:pPr>
      <w:r w:rsidRPr="00453728">
        <w:rPr>
          <w:rFonts w:ascii="宋体" w:hint="eastAsia"/>
          <w:sz w:val="28"/>
          <w:szCs w:val="28"/>
        </w:rPr>
        <w:t>一、诉源治理的界定及法院的定位</w:t>
      </w:r>
    </w:p>
    <w:p w:rsidR="00274C5A" w:rsidRPr="00453728" w:rsidRDefault="00274C5A" w:rsidP="00453728">
      <w:pPr>
        <w:ind w:firstLineChars="200" w:firstLine="560"/>
        <w:rPr>
          <w:sz w:val="28"/>
          <w:szCs w:val="28"/>
        </w:rPr>
      </w:pPr>
      <w:r w:rsidRPr="00453728">
        <w:rPr>
          <w:sz w:val="28"/>
          <w:szCs w:val="28"/>
        </w:rPr>
        <w:t>“</w:t>
      </w:r>
      <w:r w:rsidRPr="00453728">
        <w:rPr>
          <w:sz w:val="28"/>
          <w:szCs w:val="28"/>
        </w:rPr>
        <w:t>诉</w:t>
      </w:r>
      <w:r w:rsidRPr="00453728">
        <w:rPr>
          <w:sz w:val="28"/>
          <w:szCs w:val="28"/>
        </w:rPr>
        <w:t>”</w:t>
      </w:r>
      <w:r w:rsidRPr="00453728">
        <w:rPr>
          <w:sz w:val="28"/>
          <w:szCs w:val="28"/>
        </w:rPr>
        <w:t>是指法院的诉讼案件，</w:t>
      </w:r>
      <w:r w:rsidRPr="00453728">
        <w:rPr>
          <w:sz w:val="28"/>
          <w:szCs w:val="28"/>
        </w:rPr>
        <w:t>“</w:t>
      </w:r>
      <w:r w:rsidRPr="00453728">
        <w:rPr>
          <w:sz w:val="28"/>
          <w:szCs w:val="28"/>
        </w:rPr>
        <w:t>源</w:t>
      </w:r>
      <w:r w:rsidRPr="00453728">
        <w:rPr>
          <w:sz w:val="28"/>
          <w:szCs w:val="28"/>
        </w:rPr>
        <w:t>”</w:t>
      </w:r>
      <w:r w:rsidRPr="00453728">
        <w:rPr>
          <w:sz w:val="28"/>
          <w:szCs w:val="28"/>
        </w:rPr>
        <w:t>是指纠纷产生的根源、来源，</w:t>
      </w:r>
      <w:r w:rsidRPr="00453728">
        <w:rPr>
          <w:sz w:val="28"/>
          <w:szCs w:val="28"/>
        </w:rPr>
        <w:t>“</w:t>
      </w:r>
      <w:r w:rsidRPr="00453728">
        <w:rPr>
          <w:sz w:val="28"/>
          <w:szCs w:val="28"/>
        </w:rPr>
        <w:t>诉源治理</w:t>
      </w:r>
      <w:r w:rsidRPr="00453728">
        <w:rPr>
          <w:sz w:val="28"/>
          <w:szCs w:val="28"/>
        </w:rPr>
        <w:t>”</w:t>
      </w:r>
      <w:r w:rsidRPr="00453728">
        <w:rPr>
          <w:sz w:val="28"/>
          <w:szCs w:val="28"/>
        </w:rPr>
        <w:t>是指社会个体及各种机构对纠纷的预防及化解所采取的各项措施、方式和方法，使潜在纠纷和已出现纠纷的当事人的相关利益和冲突得以调和，并且采取联合行动所持续的过程。诉源治理是新时代</w:t>
      </w:r>
      <w:r w:rsidRPr="00453728">
        <w:rPr>
          <w:sz w:val="28"/>
          <w:szCs w:val="28"/>
        </w:rPr>
        <w:t>“</w:t>
      </w:r>
      <w:r w:rsidRPr="00453728">
        <w:rPr>
          <w:sz w:val="28"/>
          <w:szCs w:val="28"/>
        </w:rPr>
        <w:t>枫桥经验</w:t>
      </w:r>
      <w:r w:rsidRPr="00453728">
        <w:rPr>
          <w:sz w:val="28"/>
          <w:szCs w:val="28"/>
        </w:rPr>
        <w:t>”</w:t>
      </w:r>
      <w:r w:rsidRPr="00453728">
        <w:rPr>
          <w:sz w:val="28"/>
          <w:szCs w:val="28"/>
        </w:rPr>
        <w:t>的生动要义，能够从源头预防矛盾、推进矛盾纠纷多元化解，有助于将矛盾纠纷化解在诉讼外。</w:t>
      </w:r>
      <w:r w:rsidRPr="00453728">
        <w:rPr>
          <w:sz w:val="28"/>
          <w:szCs w:val="28"/>
        </w:rPr>
        <w:t>2019</w:t>
      </w:r>
      <w:r w:rsidRPr="00453728">
        <w:rPr>
          <w:sz w:val="28"/>
          <w:szCs w:val="28"/>
        </w:rPr>
        <w:t>年</w:t>
      </w:r>
      <w:r w:rsidRPr="00453728">
        <w:rPr>
          <w:sz w:val="28"/>
          <w:szCs w:val="28"/>
        </w:rPr>
        <w:t>1</w:t>
      </w:r>
      <w:r w:rsidRPr="00453728">
        <w:rPr>
          <w:sz w:val="28"/>
          <w:szCs w:val="28"/>
        </w:rPr>
        <w:t>月，习近平总书记在中央政法工作会议上强调：</w:t>
      </w:r>
      <w:r w:rsidRPr="00453728">
        <w:rPr>
          <w:sz w:val="28"/>
          <w:szCs w:val="28"/>
        </w:rPr>
        <w:t>“</w:t>
      </w:r>
      <w:r w:rsidRPr="00453728">
        <w:rPr>
          <w:sz w:val="28"/>
          <w:szCs w:val="28"/>
        </w:rPr>
        <w:t>坚持把非诉讼纠纷解决机制挺在前面，从源头上减少诉讼增量。</w:t>
      </w:r>
      <w:r w:rsidRPr="00453728">
        <w:rPr>
          <w:sz w:val="28"/>
          <w:szCs w:val="28"/>
        </w:rPr>
        <w:t>”</w:t>
      </w:r>
      <w:r w:rsidR="00AA7BA6" w:rsidRPr="00453728">
        <w:rPr>
          <w:rFonts w:hint="eastAsia"/>
          <w:sz w:val="28"/>
          <w:szCs w:val="28"/>
        </w:rPr>
        <w:t>因此，法院</w:t>
      </w:r>
      <w:r w:rsidR="000C3D4C" w:rsidRPr="00453728">
        <w:rPr>
          <w:rFonts w:hint="eastAsia"/>
          <w:sz w:val="28"/>
          <w:szCs w:val="28"/>
        </w:rPr>
        <w:t>作为诉源治理的重要参与主体，</w:t>
      </w:r>
      <w:r w:rsidR="00AA7BA6" w:rsidRPr="00453728">
        <w:rPr>
          <w:rFonts w:hint="eastAsia"/>
          <w:sz w:val="28"/>
          <w:szCs w:val="28"/>
        </w:rPr>
        <w:lastRenderedPageBreak/>
        <w:t>但如何更好地发挥法院的作用，基本前提在于正确厘清法院的功能定位。</w:t>
      </w:r>
    </w:p>
    <w:p w:rsidR="000C3D4C" w:rsidRPr="00453728" w:rsidRDefault="00003B88" w:rsidP="00453728">
      <w:pPr>
        <w:ind w:firstLineChars="200" w:firstLine="560"/>
        <w:rPr>
          <w:sz w:val="28"/>
          <w:szCs w:val="28"/>
        </w:rPr>
      </w:pPr>
      <w:r w:rsidRPr="00453728">
        <w:rPr>
          <w:sz w:val="28"/>
          <w:szCs w:val="28"/>
        </w:rPr>
        <w:t>2016</w:t>
      </w:r>
      <w:r w:rsidRPr="00453728">
        <w:rPr>
          <w:sz w:val="28"/>
          <w:szCs w:val="28"/>
        </w:rPr>
        <w:t>年</w:t>
      </w:r>
      <w:r w:rsidRPr="00453728">
        <w:rPr>
          <w:sz w:val="28"/>
          <w:szCs w:val="28"/>
        </w:rPr>
        <w:t>6</w:t>
      </w:r>
      <w:r w:rsidRPr="00453728">
        <w:rPr>
          <w:sz w:val="28"/>
          <w:szCs w:val="28"/>
        </w:rPr>
        <w:t>月</w:t>
      </w:r>
      <w:r w:rsidRPr="00453728">
        <w:rPr>
          <w:sz w:val="28"/>
          <w:szCs w:val="28"/>
        </w:rPr>
        <w:t>28</w:t>
      </w:r>
      <w:r w:rsidRPr="00453728">
        <w:rPr>
          <w:sz w:val="28"/>
          <w:szCs w:val="28"/>
        </w:rPr>
        <w:t>日，最高人民法院印发《关于人民法院进一步深化多元化纠纷解决机制改革的意见》，明确要求充分发挥司法在多元化纠纷解决机制建设中的引领、推动和保障作用，深入推进多元化纠纷解决机制改革，强调了法院的参与作用。</w:t>
      </w:r>
      <w:r w:rsidRPr="00453728">
        <w:rPr>
          <w:sz w:val="28"/>
          <w:szCs w:val="28"/>
        </w:rPr>
        <w:t>2019</w:t>
      </w:r>
      <w:r w:rsidRPr="00453728">
        <w:rPr>
          <w:sz w:val="28"/>
          <w:szCs w:val="28"/>
        </w:rPr>
        <w:t>年</w:t>
      </w:r>
      <w:r w:rsidRPr="00453728">
        <w:rPr>
          <w:sz w:val="28"/>
          <w:szCs w:val="28"/>
        </w:rPr>
        <w:t>7</w:t>
      </w:r>
      <w:r w:rsidRPr="00453728">
        <w:rPr>
          <w:sz w:val="28"/>
          <w:szCs w:val="28"/>
        </w:rPr>
        <w:t>月</w:t>
      </w:r>
      <w:r w:rsidRPr="00453728">
        <w:rPr>
          <w:sz w:val="28"/>
          <w:szCs w:val="28"/>
        </w:rPr>
        <w:t>31</w:t>
      </w:r>
      <w:r w:rsidRPr="00453728">
        <w:rPr>
          <w:sz w:val="28"/>
          <w:szCs w:val="28"/>
        </w:rPr>
        <w:t>日，最高人民法院出台《关于建设一站式多元解纷机制一站式诉讼服务中心的意见》，明确要求应切实发挥人民法院在诉源治理中的参与、推动、规范和保障作用。从多元解纷的不同制度文件可以看出，法院在诉源治理中由</w:t>
      </w:r>
      <w:r w:rsidRPr="00453728">
        <w:rPr>
          <w:sz w:val="28"/>
          <w:szCs w:val="28"/>
        </w:rPr>
        <w:t>“</w:t>
      </w:r>
      <w:r w:rsidRPr="00453728">
        <w:rPr>
          <w:sz w:val="28"/>
          <w:szCs w:val="28"/>
        </w:rPr>
        <w:t>引领</w:t>
      </w:r>
      <w:r w:rsidRPr="00453728">
        <w:rPr>
          <w:sz w:val="28"/>
          <w:szCs w:val="28"/>
        </w:rPr>
        <w:t>”</w:t>
      </w:r>
      <w:r w:rsidRPr="00453728">
        <w:rPr>
          <w:sz w:val="28"/>
          <w:szCs w:val="28"/>
        </w:rPr>
        <w:t>向</w:t>
      </w:r>
      <w:r w:rsidRPr="00453728">
        <w:rPr>
          <w:sz w:val="28"/>
          <w:szCs w:val="28"/>
        </w:rPr>
        <w:t>“</w:t>
      </w:r>
      <w:r w:rsidRPr="00453728">
        <w:rPr>
          <w:sz w:val="28"/>
          <w:szCs w:val="28"/>
        </w:rPr>
        <w:t>参与</w:t>
      </w:r>
      <w:r w:rsidRPr="00453728">
        <w:rPr>
          <w:sz w:val="28"/>
          <w:szCs w:val="28"/>
        </w:rPr>
        <w:t>”</w:t>
      </w:r>
      <w:r w:rsidRPr="00453728">
        <w:rPr>
          <w:sz w:val="28"/>
          <w:szCs w:val="28"/>
        </w:rPr>
        <w:t>角色转变，表明法院在</w:t>
      </w:r>
      <w:r w:rsidRPr="00453728">
        <w:rPr>
          <w:sz w:val="28"/>
          <w:szCs w:val="28"/>
        </w:rPr>
        <w:t>“</w:t>
      </w:r>
      <w:r w:rsidRPr="00453728">
        <w:rPr>
          <w:sz w:val="28"/>
          <w:szCs w:val="28"/>
        </w:rPr>
        <w:t>多元解纷</w:t>
      </w:r>
      <w:r w:rsidRPr="00453728">
        <w:rPr>
          <w:sz w:val="28"/>
          <w:szCs w:val="28"/>
        </w:rPr>
        <w:t>”</w:t>
      </w:r>
      <w:r w:rsidRPr="00453728">
        <w:rPr>
          <w:sz w:val="28"/>
          <w:szCs w:val="28"/>
        </w:rPr>
        <w:t>机制中的定位重塑。总而言之，从</w:t>
      </w:r>
      <w:r w:rsidRPr="00453728">
        <w:rPr>
          <w:sz w:val="28"/>
          <w:szCs w:val="28"/>
        </w:rPr>
        <w:t>2016</w:t>
      </w:r>
      <w:r w:rsidRPr="00453728">
        <w:rPr>
          <w:sz w:val="28"/>
          <w:szCs w:val="28"/>
        </w:rPr>
        <w:t>年多元解纷到</w:t>
      </w:r>
      <w:r w:rsidRPr="00453728">
        <w:rPr>
          <w:sz w:val="28"/>
          <w:szCs w:val="28"/>
        </w:rPr>
        <w:t>2019</w:t>
      </w:r>
      <w:r w:rsidRPr="00453728">
        <w:rPr>
          <w:sz w:val="28"/>
          <w:szCs w:val="28"/>
        </w:rPr>
        <w:t>年两个</w:t>
      </w:r>
      <w:r w:rsidRPr="00453728">
        <w:rPr>
          <w:sz w:val="28"/>
          <w:szCs w:val="28"/>
        </w:rPr>
        <w:t>“</w:t>
      </w:r>
      <w:r w:rsidRPr="00453728">
        <w:rPr>
          <w:sz w:val="28"/>
          <w:szCs w:val="28"/>
        </w:rPr>
        <w:t>一站式</w:t>
      </w:r>
      <w:r w:rsidRPr="00453728">
        <w:rPr>
          <w:sz w:val="28"/>
          <w:szCs w:val="28"/>
        </w:rPr>
        <w:t>”</w:t>
      </w:r>
      <w:r w:rsidRPr="00453728">
        <w:rPr>
          <w:sz w:val="28"/>
          <w:szCs w:val="28"/>
        </w:rPr>
        <w:t>制度文件，强调了</w:t>
      </w:r>
      <w:r w:rsidRPr="00453728">
        <w:rPr>
          <w:sz w:val="28"/>
          <w:szCs w:val="28"/>
        </w:rPr>
        <w:t>“</w:t>
      </w:r>
      <w:r w:rsidRPr="00453728">
        <w:rPr>
          <w:sz w:val="28"/>
          <w:szCs w:val="28"/>
        </w:rPr>
        <w:t>非诉讼机制挺前</w:t>
      </w:r>
      <w:r w:rsidRPr="00453728">
        <w:rPr>
          <w:sz w:val="28"/>
          <w:szCs w:val="28"/>
        </w:rPr>
        <w:t>”</w:t>
      </w:r>
      <w:r w:rsidRPr="00453728">
        <w:rPr>
          <w:sz w:val="28"/>
          <w:szCs w:val="28"/>
        </w:rPr>
        <w:t>的解纷理念，均是诉源治理机制的制度基础，但后者更侧重于法院的角色定位从</w:t>
      </w:r>
      <w:r w:rsidRPr="00453728">
        <w:rPr>
          <w:sz w:val="28"/>
          <w:szCs w:val="28"/>
        </w:rPr>
        <w:t>“</w:t>
      </w:r>
      <w:r w:rsidRPr="00453728">
        <w:rPr>
          <w:sz w:val="28"/>
          <w:szCs w:val="28"/>
        </w:rPr>
        <w:t>主导</w:t>
      </w:r>
      <w:r w:rsidRPr="00453728">
        <w:rPr>
          <w:sz w:val="28"/>
          <w:szCs w:val="28"/>
        </w:rPr>
        <w:t>”</w:t>
      </w:r>
      <w:r w:rsidRPr="00453728">
        <w:rPr>
          <w:sz w:val="28"/>
          <w:szCs w:val="28"/>
        </w:rPr>
        <w:t>向</w:t>
      </w:r>
      <w:r w:rsidRPr="00453728">
        <w:rPr>
          <w:sz w:val="28"/>
          <w:szCs w:val="28"/>
        </w:rPr>
        <w:t>“</w:t>
      </w:r>
      <w:r w:rsidRPr="00453728">
        <w:rPr>
          <w:sz w:val="28"/>
          <w:szCs w:val="28"/>
        </w:rPr>
        <w:t>参与</w:t>
      </w:r>
      <w:r w:rsidRPr="00453728">
        <w:rPr>
          <w:sz w:val="28"/>
          <w:szCs w:val="28"/>
        </w:rPr>
        <w:t>”</w:t>
      </w:r>
      <w:r w:rsidRPr="00453728">
        <w:rPr>
          <w:sz w:val="28"/>
          <w:szCs w:val="28"/>
        </w:rPr>
        <w:t>的显性过渡。</w:t>
      </w:r>
    </w:p>
    <w:p w:rsidR="002F7CE2" w:rsidRPr="00453728" w:rsidRDefault="00634812" w:rsidP="00453728">
      <w:pPr>
        <w:ind w:firstLineChars="200" w:firstLine="560"/>
        <w:rPr>
          <w:rFonts w:ascii="宋体"/>
          <w:sz w:val="28"/>
          <w:szCs w:val="28"/>
        </w:rPr>
      </w:pPr>
      <w:r>
        <w:rPr>
          <w:rFonts w:ascii="宋体" w:hint="eastAsia"/>
          <w:sz w:val="28"/>
          <w:szCs w:val="28"/>
        </w:rPr>
        <w:t>二、我院诉源治理的工作现状</w:t>
      </w:r>
    </w:p>
    <w:p w:rsidR="002F7CE2" w:rsidRPr="00453728" w:rsidRDefault="002F7CE2" w:rsidP="00453728">
      <w:pPr>
        <w:ind w:firstLineChars="200" w:firstLine="560"/>
        <w:rPr>
          <w:sz w:val="28"/>
          <w:szCs w:val="28"/>
        </w:rPr>
      </w:pPr>
      <w:r w:rsidRPr="00453728">
        <w:rPr>
          <w:rFonts w:hint="eastAsia"/>
          <w:sz w:val="28"/>
          <w:szCs w:val="28"/>
        </w:rPr>
        <w:t>近年来，四平市铁西区人民法院深入学习“枫桥经验”，以诉讼服务中心为依托，构建多元化解平台，建立健全非诉讼纠纷解决机制，深入开展法院部门市域社会治理现代化实践探索，全力维护社会安定、人民安宁，增加人民群众安全感、幸福感和获得感。</w:t>
      </w:r>
    </w:p>
    <w:p w:rsidR="002F7CE2" w:rsidRPr="00453728" w:rsidRDefault="002F7CE2" w:rsidP="00453728">
      <w:pPr>
        <w:ind w:firstLineChars="200" w:firstLine="560"/>
        <w:rPr>
          <w:sz w:val="28"/>
          <w:szCs w:val="28"/>
        </w:rPr>
      </w:pPr>
      <w:r w:rsidRPr="00453728">
        <w:rPr>
          <w:rFonts w:hint="eastAsia"/>
          <w:sz w:val="28"/>
          <w:szCs w:val="28"/>
        </w:rPr>
        <w:t>优化调服环境。</w:t>
      </w:r>
      <w:r w:rsidRPr="00453728">
        <w:rPr>
          <w:rFonts w:hint="eastAsia"/>
          <w:sz w:val="28"/>
          <w:szCs w:val="28"/>
        </w:rPr>
        <w:t xml:space="preserve">  2018 </w:t>
      </w:r>
      <w:r w:rsidRPr="00453728">
        <w:rPr>
          <w:rFonts w:hint="eastAsia"/>
          <w:sz w:val="28"/>
          <w:szCs w:val="28"/>
        </w:rPr>
        <w:t>年</w:t>
      </w:r>
      <w:r w:rsidRPr="00453728">
        <w:rPr>
          <w:rFonts w:hint="eastAsia"/>
          <w:sz w:val="28"/>
          <w:szCs w:val="28"/>
        </w:rPr>
        <w:t>10</w:t>
      </w:r>
      <w:r w:rsidRPr="00453728">
        <w:rPr>
          <w:rFonts w:hint="eastAsia"/>
          <w:sz w:val="28"/>
          <w:szCs w:val="28"/>
        </w:rPr>
        <w:t>月，升级改造的诉讼服务中心让“分、调、裁、审、访”各项功能真正融为一体，为整合多元化解矛盾纠纷资源创造了条件。</w:t>
      </w:r>
    </w:p>
    <w:p w:rsidR="002F7CE2" w:rsidRPr="00453728" w:rsidRDefault="002F7CE2" w:rsidP="00453728">
      <w:pPr>
        <w:ind w:firstLineChars="200" w:firstLine="560"/>
        <w:rPr>
          <w:sz w:val="28"/>
          <w:szCs w:val="28"/>
        </w:rPr>
      </w:pPr>
      <w:r w:rsidRPr="00453728">
        <w:rPr>
          <w:rFonts w:hint="eastAsia"/>
          <w:sz w:val="28"/>
          <w:szCs w:val="28"/>
        </w:rPr>
        <w:lastRenderedPageBreak/>
        <w:t>引入专业队伍。整合调解力量，搭建多元化解调解平台，推进第三方委托调解和业务协调，用最适当的人调处最适合的纠纷，实现调解更专业、更精准、更高效。目前，诉服中心入驻区法学会法律服务站、区司法调解中心律师值班室、“有话好好说”调委会、人民陪审员和老法官调解室等</w:t>
      </w:r>
      <w:r w:rsidRPr="00453728">
        <w:rPr>
          <w:rFonts w:hint="eastAsia"/>
          <w:sz w:val="28"/>
          <w:szCs w:val="28"/>
        </w:rPr>
        <w:t>13</w:t>
      </w:r>
      <w:r w:rsidRPr="00453728">
        <w:rPr>
          <w:rFonts w:hint="eastAsia"/>
          <w:sz w:val="28"/>
          <w:szCs w:val="28"/>
        </w:rPr>
        <w:t>人组成的四个调解组织，担负着分流的全部诉前调解任务。</w:t>
      </w:r>
      <w:r w:rsidRPr="00453728">
        <w:rPr>
          <w:rFonts w:hint="eastAsia"/>
          <w:sz w:val="28"/>
          <w:szCs w:val="28"/>
        </w:rPr>
        <w:t> </w:t>
      </w:r>
      <w:r w:rsidRPr="00453728">
        <w:rPr>
          <w:rFonts w:hint="eastAsia"/>
          <w:sz w:val="28"/>
          <w:szCs w:val="28"/>
        </w:rPr>
        <w:t>实现“诉讼服务</w:t>
      </w:r>
      <w:r w:rsidRPr="00453728">
        <w:rPr>
          <w:rFonts w:hint="eastAsia"/>
          <w:sz w:val="28"/>
          <w:szCs w:val="28"/>
        </w:rPr>
        <w:t>+</w:t>
      </w:r>
      <w:r w:rsidRPr="00453728">
        <w:rPr>
          <w:rFonts w:hint="eastAsia"/>
          <w:sz w:val="28"/>
          <w:szCs w:val="28"/>
        </w:rPr>
        <w:t>调解”“诉讼服务</w:t>
      </w:r>
      <w:r w:rsidRPr="00453728">
        <w:rPr>
          <w:rFonts w:hint="eastAsia"/>
          <w:sz w:val="28"/>
          <w:szCs w:val="28"/>
        </w:rPr>
        <w:t>+</w:t>
      </w:r>
      <w:r w:rsidRPr="00453728">
        <w:rPr>
          <w:rFonts w:hint="eastAsia"/>
          <w:sz w:val="28"/>
          <w:szCs w:val="28"/>
        </w:rPr>
        <w:t>速裁”一站式服务的工作体系。</w:t>
      </w:r>
    </w:p>
    <w:p w:rsidR="002F7CE2" w:rsidRPr="00453728" w:rsidRDefault="002F7CE2" w:rsidP="00453728">
      <w:pPr>
        <w:ind w:firstLineChars="200" w:firstLine="560"/>
        <w:rPr>
          <w:sz w:val="28"/>
          <w:szCs w:val="28"/>
        </w:rPr>
      </w:pPr>
      <w:r w:rsidRPr="00453728">
        <w:rPr>
          <w:rFonts w:hint="eastAsia"/>
          <w:sz w:val="28"/>
          <w:szCs w:val="28"/>
        </w:rPr>
        <w:t>法律咨询，答疑解惑。</w:t>
      </w:r>
      <w:r w:rsidRPr="00453728">
        <w:rPr>
          <w:rFonts w:hint="eastAsia"/>
          <w:sz w:val="28"/>
          <w:szCs w:val="28"/>
        </w:rPr>
        <w:t> </w:t>
      </w:r>
      <w:r w:rsidRPr="00453728">
        <w:rPr>
          <w:rFonts w:hint="eastAsia"/>
          <w:sz w:val="28"/>
          <w:szCs w:val="28"/>
        </w:rPr>
        <w:t>在分流时，将一定数量的法律关系比较复杂的流向律师值班室，</w:t>
      </w:r>
      <w:r w:rsidRPr="00453728">
        <w:rPr>
          <w:rFonts w:hint="eastAsia"/>
          <w:sz w:val="28"/>
          <w:szCs w:val="28"/>
        </w:rPr>
        <w:t xml:space="preserve"> </w:t>
      </w:r>
      <w:r w:rsidRPr="00453728">
        <w:rPr>
          <w:rFonts w:hint="eastAsia"/>
          <w:sz w:val="28"/>
          <w:szCs w:val="28"/>
        </w:rPr>
        <w:t>在值班律师指导下完成导诉员定向分流的诉前调解纠纷。</w:t>
      </w:r>
    </w:p>
    <w:p w:rsidR="002F7CE2" w:rsidRPr="00453728" w:rsidRDefault="002F7CE2" w:rsidP="00453728">
      <w:pPr>
        <w:ind w:firstLineChars="200" w:firstLine="560"/>
        <w:rPr>
          <w:sz w:val="28"/>
          <w:szCs w:val="28"/>
        </w:rPr>
      </w:pPr>
      <w:r w:rsidRPr="00453728">
        <w:rPr>
          <w:rFonts w:hint="eastAsia"/>
          <w:sz w:val="28"/>
          <w:szCs w:val="28"/>
        </w:rPr>
        <w:t>司法确认，高效快速。</w:t>
      </w:r>
      <w:r w:rsidRPr="00453728">
        <w:rPr>
          <w:rFonts w:hint="eastAsia"/>
          <w:sz w:val="28"/>
          <w:szCs w:val="28"/>
        </w:rPr>
        <w:t>  </w:t>
      </w:r>
      <w:r w:rsidRPr="00453728">
        <w:rPr>
          <w:rFonts w:hint="eastAsia"/>
          <w:sz w:val="28"/>
          <w:szCs w:val="28"/>
        </w:rPr>
        <w:t>人民调解员完成的调解协议与速裁法官对接，由法官对调解协议进行司法确认。</w:t>
      </w:r>
    </w:p>
    <w:p w:rsidR="002F7CE2" w:rsidRPr="00453728" w:rsidRDefault="002F7CE2" w:rsidP="00453728">
      <w:pPr>
        <w:ind w:firstLineChars="200" w:firstLine="560"/>
        <w:rPr>
          <w:sz w:val="28"/>
          <w:szCs w:val="28"/>
        </w:rPr>
      </w:pPr>
      <w:r w:rsidRPr="00453728">
        <w:rPr>
          <w:rFonts w:hint="eastAsia"/>
          <w:sz w:val="28"/>
          <w:szCs w:val="28"/>
        </w:rPr>
        <w:t>定向分流，整体协同。</w:t>
      </w:r>
      <w:r w:rsidRPr="00453728">
        <w:rPr>
          <w:rFonts w:hint="eastAsia"/>
          <w:sz w:val="28"/>
          <w:szCs w:val="28"/>
        </w:rPr>
        <w:t>  </w:t>
      </w:r>
      <w:r w:rsidRPr="00453728">
        <w:rPr>
          <w:rFonts w:hint="eastAsia"/>
          <w:sz w:val="28"/>
          <w:szCs w:val="28"/>
        </w:rPr>
        <w:t>两名回聘的退休女法官，对于定向分流的把控，调解手法的掌握都能起到引导和示范的作用。</w:t>
      </w:r>
    </w:p>
    <w:p w:rsidR="002F7CE2" w:rsidRPr="00453728" w:rsidRDefault="002F7CE2" w:rsidP="00453728">
      <w:pPr>
        <w:ind w:firstLineChars="200" w:firstLine="560"/>
        <w:rPr>
          <w:sz w:val="28"/>
          <w:szCs w:val="28"/>
        </w:rPr>
      </w:pPr>
      <w:r w:rsidRPr="00453728">
        <w:rPr>
          <w:rFonts w:hint="eastAsia"/>
          <w:sz w:val="28"/>
          <w:szCs w:val="28"/>
        </w:rPr>
        <w:t>专家“坐诊”化解纠纷</w:t>
      </w:r>
      <w:r w:rsidRPr="00453728">
        <w:rPr>
          <w:rFonts w:hint="eastAsia"/>
          <w:sz w:val="28"/>
          <w:szCs w:val="28"/>
        </w:rPr>
        <w:t> </w:t>
      </w:r>
      <w:r w:rsidRPr="00453728">
        <w:rPr>
          <w:rFonts w:hint="eastAsia"/>
          <w:sz w:val="28"/>
          <w:szCs w:val="28"/>
        </w:rPr>
        <w:t>。法学会会员和人民调解员实行“坐堂问诊”与“专家门诊”相结合的分流路径，“实现矛盾纠纷各入其道，调解组织各有主业、各有阵地、各负其责，”形成同步发力的多层次专业大调解格局。</w:t>
      </w:r>
    </w:p>
    <w:p w:rsidR="002F7CE2" w:rsidRPr="00453728" w:rsidRDefault="002F7CE2" w:rsidP="00453728">
      <w:pPr>
        <w:ind w:firstLineChars="200" w:firstLine="560"/>
        <w:rPr>
          <w:sz w:val="28"/>
          <w:szCs w:val="28"/>
        </w:rPr>
      </w:pPr>
      <w:r w:rsidRPr="00453728">
        <w:rPr>
          <w:rFonts w:hint="eastAsia"/>
          <w:sz w:val="28"/>
          <w:szCs w:val="28"/>
        </w:rPr>
        <w:t>民商纠纷分类分流。</w:t>
      </w:r>
      <w:r w:rsidRPr="00453728">
        <w:rPr>
          <w:rFonts w:hint="eastAsia"/>
          <w:sz w:val="28"/>
          <w:szCs w:val="28"/>
        </w:rPr>
        <w:t> </w:t>
      </w:r>
      <w:r w:rsidRPr="00453728">
        <w:rPr>
          <w:rFonts w:hint="eastAsia"/>
          <w:sz w:val="28"/>
          <w:szCs w:val="28"/>
        </w:rPr>
        <w:t>坚持以问题为导向，与各调解组织共同商讨并确定按案由确定案件调解前置和类案集中分流。如与小额贷款公司之间的民间借贷、拖欠物业费用、开发公司延期交付房屋等类案，直接集中分流给调解员进行先期调解。</w:t>
      </w:r>
      <w:r w:rsidRPr="00453728">
        <w:rPr>
          <w:rFonts w:hint="eastAsia"/>
          <w:sz w:val="28"/>
          <w:szCs w:val="28"/>
        </w:rPr>
        <w:t>  </w:t>
      </w:r>
    </w:p>
    <w:p w:rsidR="002F7CE2" w:rsidRPr="00453728" w:rsidRDefault="002F7CE2" w:rsidP="00453728">
      <w:pPr>
        <w:ind w:firstLineChars="200" w:firstLine="560"/>
        <w:rPr>
          <w:sz w:val="28"/>
          <w:szCs w:val="28"/>
        </w:rPr>
      </w:pPr>
      <w:r w:rsidRPr="00453728">
        <w:rPr>
          <w:rFonts w:hint="eastAsia"/>
          <w:sz w:val="28"/>
          <w:szCs w:val="28"/>
        </w:rPr>
        <w:lastRenderedPageBreak/>
        <w:t>建卷立档</w:t>
      </w:r>
      <w:r w:rsidRPr="00453728">
        <w:rPr>
          <w:rFonts w:hint="eastAsia"/>
          <w:sz w:val="28"/>
          <w:szCs w:val="28"/>
        </w:rPr>
        <w:t> </w:t>
      </w:r>
      <w:r w:rsidRPr="00453728">
        <w:rPr>
          <w:rFonts w:hint="eastAsia"/>
          <w:sz w:val="28"/>
          <w:szCs w:val="28"/>
        </w:rPr>
        <w:t>，及时录入。在实践中，坚持以最高院和省院关于诉前调系统管理要求，对分流进入诉前调解的案件，无论调解成功与否，都及时完成扫描建卷立档和录入工作，确保诉前调管理与诉讼案件管理一样严谨和细致。</w:t>
      </w:r>
    </w:p>
    <w:p w:rsidR="00C81BFE" w:rsidRPr="00453728" w:rsidRDefault="00507ABD" w:rsidP="00453728">
      <w:pPr>
        <w:ind w:firstLineChars="200" w:firstLine="560"/>
        <w:rPr>
          <w:rFonts w:ascii="黑体" w:eastAsia="黑体" w:hAnsi="黑体" w:cs="黑体"/>
          <w:color w:val="000000"/>
          <w:kern w:val="0"/>
          <w:sz w:val="28"/>
          <w:szCs w:val="28"/>
        </w:rPr>
      </w:pPr>
      <w:r w:rsidRPr="00453728">
        <w:rPr>
          <w:rFonts w:ascii="宋体" w:hint="eastAsia"/>
          <w:sz w:val="28"/>
          <w:szCs w:val="28"/>
        </w:rPr>
        <w:t>三、加强诉源治理工作的对策意见</w:t>
      </w:r>
    </w:p>
    <w:p w:rsidR="002F7CE2" w:rsidRPr="00453728" w:rsidRDefault="002F7CE2" w:rsidP="00453728">
      <w:pPr>
        <w:ind w:firstLineChars="200" w:firstLine="560"/>
        <w:rPr>
          <w:sz w:val="28"/>
          <w:szCs w:val="28"/>
        </w:rPr>
      </w:pPr>
      <w:r w:rsidRPr="00453728">
        <w:rPr>
          <w:sz w:val="28"/>
          <w:szCs w:val="28"/>
        </w:rPr>
        <w:t>坚持把非诉讼纠纷解决机制挺在前面，是习近平总书记对社会治理现实、人民群众需要，以及矛盾纠纷化解规律的准确论断。从现实情况来看，诉源治理机制多从法院个体式的法治宣传角度，如巡回审判、法官下乡、网格调解等多种法治教育方式展开。然而，真正的诉源治理机制强调的文化理念应是</w:t>
      </w:r>
      <w:r w:rsidRPr="00453728">
        <w:rPr>
          <w:sz w:val="28"/>
          <w:szCs w:val="28"/>
        </w:rPr>
        <w:t>“</w:t>
      </w:r>
      <w:r w:rsidRPr="00453728">
        <w:rPr>
          <w:sz w:val="28"/>
          <w:szCs w:val="28"/>
        </w:rPr>
        <w:t>非诉机制挺前，法院诉讼断后</w:t>
      </w:r>
      <w:r w:rsidRPr="00453728">
        <w:rPr>
          <w:sz w:val="28"/>
          <w:szCs w:val="28"/>
        </w:rPr>
        <w:t>”</w:t>
      </w:r>
      <w:r w:rsidRPr="00453728">
        <w:rPr>
          <w:sz w:val="28"/>
          <w:szCs w:val="28"/>
        </w:rPr>
        <w:t>。法院作为治理承担主体之一，与其他治理部门之间的关系应是按照协同治理的规范模式进行的。纵观诉源治理实践样态，不同地区法院的工作重点虽各有不同，但多侧重非诉解纷的法治化和递进式，强调法院司法断后而非前置主导的角色定位。基于诉讼断后这一理念的目的指引，法院参与诉源治理的多样手段，建议可通过加强对调解组织的专业指导和培训等，利用司法专业优势助力集成治理，亦是协同治理下的适时调节和选择。</w:t>
      </w:r>
    </w:p>
    <w:p w:rsidR="00C81BFE" w:rsidRPr="00453728" w:rsidRDefault="002F7CE2" w:rsidP="00453728">
      <w:pPr>
        <w:ind w:firstLineChars="200" w:firstLine="560"/>
        <w:rPr>
          <w:sz w:val="28"/>
          <w:szCs w:val="28"/>
        </w:rPr>
      </w:pPr>
      <w:r w:rsidRPr="00453728">
        <w:rPr>
          <w:sz w:val="28"/>
          <w:szCs w:val="28"/>
        </w:rPr>
        <w:t>以</w:t>
      </w:r>
      <w:r w:rsidRPr="00453728">
        <w:rPr>
          <w:sz w:val="28"/>
          <w:szCs w:val="28"/>
        </w:rPr>
        <w:t>“</w:t>
      </w:r>
      <w:r w:rsidRPr="00453728">
        <w:rPr>
          <w:sz w:val="28"/>
          <w:szCs w:val="28"/>
        </w:rPr>
        <w:t>源头预防为先，非诉机制挺前，法院裁判终局</w:t>
      </w:r>
      <w:r w:rsidRPr="00453728">
        <w:rPr>
          <w:sz w:val="28"/>
          <w:szCs w:val="28"/>
        </w:rPr>
        <w:t>”</w:t>
      </w:r>
      <w:r w:rsidRPr="00453728">
        <w:rPr>
          <w:sz w:val="28"/>
          <w:szCs w:val="28"/>
        </w:rPr>
        <w:t>为核心的诉源治理新实践，填补了基层社会治理的制度性空缺。诉源治理是一个系统工程，法院作为该系统工程中的一个重要责任主体，准确把握法院的功能定位，才能在积极作为的同时做到适度参与。源头解纷不等于提前介入，法院不宜在司法治理之外主动广泛地挖掘矛盾纠纷。把非</w:t>
      </w:r>
      <w:r w:rsidRPr="00453728">
        <w:rPr>
          <w:sz w:val="28"/>
          <w:szCs w:val="28"/>
        </w:rPr>
        <w:lastRenderedPageBreak/>
        <w:t>诉讼纠纷解决机制挺在前面，坚持党政领导、政法主导的中心地位，形成纠纷处理的规则化，塑造良法秩序下的法治化，是未来发展的方向。从长久来看，相关治理主体应增强主动融入诉源治理的责任意识，</w:t>
      </w:r>
      <w:r w:rsidRPr="00453728">
        <w:rPr>
          <w:sz w:val="28"/>
          <w:szCs w:val="28"/>
        </w:rPr>
        <w:t xml:space="preserve"> </w:t>
      </w:r>
      <w:r w:rsidRPr="00453728">
        <w:rPr>
          <w:sz w:val="28"/>
          <w:szCs w:val="28"/>
        </w:rPr>
        <w:t>主动把诉源治理工作放在社会矛盾纠纷调处化解的大格局中，协同共建社会治理机制。</w:t>
      </w:r>
    </w:p>
    <w:p w:rsidR="00C81BFE" w:rsidRPr="00453728" w:rsidRDefault="00C81BFE" w:rsidP="00453728">
      <w:pPr>
        <w:ind w:firstLineChars="200" w:firstLine="560"/>
        <w:rPr>
          <w:sz w:val="28"/>
          <w:szCs w:val="28"/>
        </w:rPr>
      </w:pPr>
    </w:p>
    <w:sectPr w:rsidR="00C81BFE" w:rsidRPr="00453728" w:rsidSect="00C81BF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04B" w:rsidRDefault="004E104B" w:rsidP="00C81BFE">
      <w:r>
        <w:separator/>
      </w:r>
    </w:p>
  </w:endnote>
  <w:endnote w:type="continuationSeparator" w:id="1">
    <w:p w:rsidR="004E104B" w:rsidRDefault="004E104B" w:rsidP="00C81B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KTJ+ZHcD1F-26">
    <w:altName w:val="Times New Roman"/>
    <w:panose1 w:val="00000000000000000000"/>
    <w:charset w:val="00"/>
    <w:family w:val="roman"/>
    <w:notTrueType/>
    <w:pitch w:val="default"/>
    <w:sig w:usb0="00000000" w:usb1="00000000" w:usb2="00000000" w:usb3="00000000" w:csb0="00000000" w:csb1="00000000"/>
  </w:font>
  <w:font w:name="KTJ+ZHcD1E-1">
    <w:altName w:val="Times New Roman"/>
    <w:panose1 w:val="00000000000000000000"/>
    <w:charset w:val="00"/>
    <w:family w:val="roman"/>
    <w:notTrueType/>
    <w:pitch w:val="default"/>
    <w:sig w:usb0="00000000" w:usb1="00000000" w:usb2="00000000" w:usb3="00000000" w:csb0="00000000" w:csb1="00000000"/>
  </w:font>
  <w:font w:name="KTJ+ZHcD1d-403">
    <w:panose1 w:val="00000000000000000000"/>
    <w:charset w:val="00"/>
    <w:family w:val="roman"/>
    <w:notTrueType/>
    <w:pitch w:val="default"/>
    <w:sig w:usb0="00000000" w:usb1="00000000" w:usb2="00000000" w:usb3="00000000" w:csb0="00000000" w:csb1="00000000"/>
  </w:font>
  <w:font w:name="KTJ+ZHcD1I-69">
    <w:altName w:val="Times New Roman"/>
    <w:panose1 w:val="00000000000000000000"/>
    <w:charset w:val="00"/>
    <w:family w:val="roman"/>
    <w:notTrueType/>
    <w:pitch w:val="default"/>
    <w:sig w:usb0="00000000" w:usb1="00000000" w:usb2="00000000" w:usb3="00000000" w:csb0="00000000" w:csb1="00000000"/>
  </w:font>
  <w:font w:name="KTJ+ZHcD1I-65">
    <w:panose1 w:val="00000000000000000000"/>
    <w:charset w:val="00"/>
    <w:family w:val="roman"/>
    <w:notTrueType/>
    <w:pitch w:val="default"/>
    <w:sig w:usb0="00000000" w:usb1="00000000" w:usb2="00000000" w:usb3="00000000" w:csb0="00000000" w:csb1="00000000"/>
  </w:font>
  <w:font w:name="KTJ+ZHcD1K-105">
    <w:panose1 w:val="00000000000000000000"/>
    <w:charset w:val="00"/>
    <w:family w:val="roman"/>
    <w:notTrueType/>
    <w:pitch w:val="default"/>
    <w:sig w:usb0="00000000" w:usb1="00000000" w:usb2="00000000" w:usb3="00000000" w:csb0="00000000" w:csb1="00000000"/>
  </w:font>
  <w:font w:name="KTJ+ZHcD1E-5">
    <w:altName w:val="Times New Roman"/>
    <w:panose1 w:val="00000000000000000000"/>
    <w:charset w:val="00"/>
    <w:family w:val="roman"/>
    <w:notTrueType/>
    <w:pitch w:val="default"/>
    <w:sig w:usb0="00000000" w:usb1="00000000" w:usb2="00000000" w:usb3="00000000" w:csb0="00000000" w:csb1="00000000"/>
  </w:font>
  <w:font w:name="KTJ+ZHcD1G-49">
    <w:altName w:val="Times New Roman"/>
    <w:panose1 w:val="00000000000000000000"/>
    <w:charset w:val="00"/>
    <w:family w:val="roman"/>
    <w:notTrueType/>
    <w:pitch w:val="default"/>
    <w:sig w:usb0="00000000" w:usb1="00000000" w:usb2="00000000" w:usb3="00000000" w:csb0="00000000" w:csb1="00000000"/>
  </w:font>
  <w:font w:name="KTJ+ZHcD1E-3">
    <w:altName w:val="Times New Roman"/>
    <w:panose1 w:val="00000000000000000000"/>
    <w:charset w:val="00"/>
    <w:family w:val="roman"/>
    <w:notTrueType/>
    <w:pitch w:val="default"/>
    <w:sig w:usb0="00000000" w:usb1="00000000" w:usb2="00000000" w:usb3="00000000" w:csb0="00000000" w:csb1="00000000"/>
  </w:font>
  <w:font w:name="KTJ+ZHcD1G-43">
    <w:altName w:val="Times New Roman"/>
    <w:panose1 w:val="00000000000000000000"/>
    <w:charset w:val="00"/>
    <w:family w:val="roman"/>
    <w:notTrueType/>
    <w:pitch w:val="default"/>
    <w:sig w:usb0="00000000" w:usb1="00000000" w:usb2="00000000" w:usb3="00000000" w:csb0="00000000" w:csb1="00000000"/>
  </w:font>
  <w:font w:name="KTJ+ZHcD1H-58">
    <w:altName w:val="Times New Roman"/>
    <w:panose1 w:val="00000000000000000000"/>
    <w:charset w:val="00"/>
    <w:family w:val="roman"/>
    <w:notTrueType/>
    <w:pitch w:val="default"/>
    <w:sig w:usb0="00000000" w:usb1="00000000" w:usb2="00000000" w:usb3="00000000" w:csb0="00000000" w:csb1="00000000"/>
  </w:font>
  <w:font w:name="KTJ+ZHcD1N-172">
    <w:panose1 w:val="00000000000000000000"/>
    <w:charset w:val="00"/>
    <w:family w:val="roman"/>
    <w:notTrueType/>
    <w:pitch w:val="default"/>
    <w:sig w:usb0="00000000" w:usb1="00000000" w:usb2="00000000" w:usb3="00000000" w:csb0="00000000" w:csb1="00000000"/>
  </w:font>
  <w:font w:name="KTJ+ZHcD1L-144">
    <w:panose1 w:val="00000000000000000000"/>
    <w:charset w:val="00"/>
    <w:family w:val="roman"/>
    <w:notTrueType/>
    <w:pitch w:val="default"/>
    <w:sig w:usb0="00000000" w:usb1="00000000" w:usb2="00000000" w:usb3="00000000" w:csb0="00000000" w:csb1="00000000"/>
  </w:font>
  <w:font w:name="KTJ+ZHcD1L-135">
    <w:panose1 w:val="00000000000000000000"/>
    <w:charset w:val="00"/>
    <w:family w:val="roman"/>
    <w:notTrueType/>
    <w:pitch w:val="default"/>
    <w:sig w:usb0="00000000" w:usb1="00000000" w:usb2="00000000" w:usb3="00000000" w:csb0="00000000" w:csb1="00000000"/>
  </w:font>
  <w:font w:name="KTJ+ZHcD1g-486">
    <w:panose1 w:val="00000000000000000000"/>
    <w:charset w:val="00"/>
    <w:family w:val="roman"/>
    <w:notTrueType/>
    <w:pitch w:val="default"/>
    <w:sig w:usb0="00000000" w:usb1="00000000" w:usb2="00000000" w:usb3="00000000" w:csb0="00000000" w:csb1="00000000"/>
  </w:font>
  <w:font w:name="KTJ+ZHcD1W-268">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BFE" w:rsidRDefault="0022696B">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filled="f" stroked="f">
          <v:textbox style="mso-fit-shape-to-text:t" inset="0,0,0,0">
            <w:txbxContent>
              <w:p w:rsidR="00C81BFE" w:rsidRDefault="0022696B">
                <w:pPr>
                  <w:pStyle w:val="a3"/>
                </w:pPr>
                <w:r>
                  <w:fldChar w:fldCharType="begin"/>
                </w:r>
                <w:r w:rsidR="00B45C00">
                  <w:instrText xml:space="preserve"> PAGE  \* MERGEFORMAT </w:instrText>
                </w:r>
                <w:r>
                  <w:fldChar w:fldCharType="separate"/>
                </w:r>
                <w:r w:rsidR="00632D54">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04B" w:rsidRDefault="004E104B" w:rsidP="00C81BFE">
      <w:r>
        <w:separator/>
      </w:r>
    </w:p>
  </w:footnote>
  <w:footnote w:type="continuationSeparator" w:id="1">
    <w:p w:rsidR="004E104B" w:rsidRDefault="004E104B" w:rsidP="00C81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8ACA0"/>
    <w:multiLevelType w:val="singleLevel"/>
    <w:tmpl w:val="6278ACA0"/>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M1OThjZGRlYTVkNTgyN2EzZDgyNjk2NjAwYjEyMDIifQ=="/>
  </w:docVars>
  <w:rsids>
    <w:rsidRoot w:val="5AC7634A"/>
    <w:rsid w:val="00003B88"/>
    <w:rsid w:val="00003F24"/>
    <w:rsid w:val="000C3D4C"/>
    <w:rsid w:val="001C5B9B"/>
    <w:rsid w:val="0022696B"/>
    <w:rsid w:val="00274C5A"/>
    <w:rsid w:val="002E6806"/>
    <w:rsid w:val="002F7CE2"/>
    <w:rsid w:val="00453728"/>
    <w:rsid w:val="004E104B"/>
    <w:rsid w:val="00507ABD"/>
    <w:rsid w:val="00632D54"/>
    <w:rsid w:val="00634812"/>
    <w:rsid w:val="009047E8"/>
    <w:rsid w:val="00A144A8"/>
    <w:rsid w:val="00AA7BA6"/>
    <w:rsid w:val="00AB6F3B"/>
    <w:rsid w:val="00B4524A"/>
    <w:rsid w:val="00B45C00"/>
    <w:rsid w:val="00B91DA7"/>
    <w:rsid w:val="00C81BFE"/>
    <w:rsid w:val="00DD10F5"/>
    <w:rsid w:val="00E6159C"/>
    <w:rsid w:val="00F05471"/>
    <w:rsid w:val="2E3244EC"/>
    <w:rsid w:val="3EFD1E18"/>
    <w:rsid w:val="5AC7634A"/>
    <w:rsid w:val="783B5C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BFE"/>
    <w:pPr>
      <w:widowControl w:val="0"/>
      <w:suppressAutoHyphens/>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1BFE"/>
    <w:pPr>
      <w:tabs>
        <w:tab w:val="center" w:pos="4153"/>
        <w:tab w:val="right" w:pos="8306"/>
      </w:tabs>
      <w:snapToGrid w:val="0"/>
      <w:jc w:val="left"/>
    </w:pPr>
    <w:rPr>
      <w:sz w:val="18"/>
    </w:rPr>
  </w:style>
  <w:style w:type="paragraph" w:styleId="a4">
    <w:name w:val="header"/>
    <w:basedOn w:val="a"/>
    <w:link w:val="Char"/>
    <w:qFormat/>
    <w:rsid w:val="00C81BFE"/>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C81B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文本缩进1"/>
    <w:basedOn w:val="a"/>
    <w:qFormat/>
    <w:rsid w:val="00C81BFE"/>
    <w:pPr>
      <w:adjustRightInd w:val="0"/>
      <w:textAlignment w:val="baseline"/>
    </w:pPr>
    <w:rPr>
      <w:rFonts w:ascii="黑体" w:eastAsia="黑体" w:hAnsi="宋体"/>
      <w:kern w:val="0"/>
      <w:sz w:val="20"/>
      <w:szCs w:val="20"/>
    </w:rPr>
  </w:style>
  <w:style w:type="paragraph" w:customStyle="1" w:styleId="10">
    <w:name w:val="正文文本1"/>
    <w:basedOn w:val="a"/>
    <w:qFormat/>
    <w:rsid w:val="00C81BFE"/>
    <w:pPr>
      <w:adjustRightInd w:val="0"/>
      <w:jc w:val="left"/>
      <w:textAlignment w:val="baseline"/>
    </w:pPr>
    <w:rPr>
      <w:kern w:val="0"/>
      <w:sz w:val="20"/>
      <w:szCs w:val="20"/>
    </w:rPr>
  </w:style>
  <w:style w:type="character" w:customStyle="1" w:styleId="Char">
    <w:name w:val="页眉 Char"/>
    <w:basedOn w:val="a0"/>
    <w:link w:val="a4"/>
    <w:rsid w:val="00C81BFE"/>
    <w:rPr>
      <w:rFonts w:ascii="Calibri" w:eastAsia="宋体" w:hAnsi="Calibri" w:cs="Times New Roman"/>
      <w:kern w:val="2"/>
      <w:sz w:val="18"/>
      <w:szCs w:val="18"/>
    </w:rPr>
  </w:style>
  <w:style w:type="character" w:customStyle="1" w:styleId="fontstyle01">
    <w:name w:val="fontstyle01"/>
    <w:basedOn w:val="a0"/>
    <w:rsid w:val="00274C5A"/>
    <w:rPr>
      <w:rFonts w:ascii="宋体" w:eastAsia="宋体" w:hAnsi="宋体" w:hint="eastAsia"/>
      <w:b w:val="0"/>
      <w:bCs w:val="0"/>
      <w:i w:val="0"/>
      <w:iCs w:val="0"/>
      <w:color w:val="000000"/>
      <w:sz w:val="22"/>
      <w:szCs w:val="22"/>
    </w:rPr>
  </w:style>
  <w:style w:type="character" w:customStyle="1" w:styleId="fontstyle11">
    <w:name w:val="fontstyle11"/>
    <w:basedOn w:val="a0"/>
    <w:rsid w:val="00274C5A"/>
    <w:rPr>
      <w:rFonts w:ascii="TimesNewRomanPSMT" w:hAnsi="TimesNewRomanPSMT" w:hint="default"/>
      <w:b w:val="0"/>
      <w:bCs w:val="0"/>
      <w:i w:val="0"/>
      <w:iCs w:val="0"/>
      <w:color w:val="000000"/>
      <w:sz w:val="22"/>
      <w:szCs w:val="22"/>
    </w:rPr>
  </w:style>
  <w:style w:type="character" w:customStyle="1" w:styleId="fontstyle17">
    <w:name w:val="fontstyle17"/>
    <w:basedOn w:val="a0"/>
    <w:rsid w:val="00274C5A"/>
    <w:rPr>
      <w:rFonts w:ascii="KTJ+ZHcD1F-26" w:hAnsi="KTJ+ZHcD1F-26" w:hint="default"/>
      <w:b w:val="0"/>
      <w:bCs w:val="0"/>
      <w:i w:val="0"/>
      <w:iCs w:val="0"/>
      <w:color w:val="231F20"/>
      <w:sz w:val="20"/>
      <w:szCs w:val="20"/>
    </w:rPr>
  </w:style>
  <w:style w:type="character" w:customStyle="1" w:styleId="fontstyle21">
    <w:name w:val="fontstyle21"/>
    <w:basedOn w:val="a0"/>
    <w:rsid w:val="00274C5A"/>
    <w:rPr>
      <w:rFonts w:ascii="KTJ+ZHcD1E-1" w:hAnsi="KTJ+ZHcD1E-1" w:hint="default"/>
      <w:b w:val="0"/>
      <w:bCs w:val="0"/>
      <w:i w:val="0"/>
      <w:iCs w:val="0"/>
      <w:color w:val="231F20"/>
      <w:sz w:val="20"/>
      <w:szCs w:val="20"/>
    </w:rPr>
  </w:style>
  <w:style w:type="character" w:customStyle="1" w:styleId="fontstyle31">
    <w:name w:val="fontstyle31"/>
    <w:basedOn w:val="a0"/>
    <w:rsid w:val="00274C5A"/>
    <w:rPr>
      <w:rFonts w:ascii="KTJ+ZHcD1d-403" w:hAnsi="KTJ+ZHcD1d-403" w:hint="default"/>
      <w:b w:val="0"/>
      <w:bCs w:val="0"/>
      <w:i w:val="0"/>
      <w:iCs w:val="0"/>
      <w:color w:val="231F20"/>
      <w:sz w:val="20"/>
      <w:szCs w:val="20"/>
    </w:rPr>
  </w:style>
  <w:style w:type="character" w:customStyle="1" w:styleId="fontstyle41">
    <w:name w:val="fontstyle41"/>
    <w:basedOn w:val="a0"/>
    <w:rsid w:val="00274C5A"/>
    <w:rPr>
      <w:rFonts w:ascii="KTJ+ZHcD1I-69" w:hAnsi="KTJ+ZHcD1I-69" w:hint="default"/>
      <w:b w:val="0"/>
      <w:bCs w:val="0"/>
      <w:i w:val="0"/>
      <w:iCs w:val="0"/>
      <w:color w:val="231F20"/>
      <w:sz w:val="20"/>
      <w:szCs w:val="20"/>
    </w:rPr>
  </w:style>
  <w:style w:type="character" w:customStyle="1" w:styleId="fontstyle51">
    <w:name w:val="fontstyle51"/>
    <w:basedOn w:val="a0"/>
    <w:rsid w:val="00274C5A"/>
    <w:rPr>
      <w:rFonts w:ascii="KTJ+ZHcD1I-65" w:hAnsi="KTJ+ZHcD1I-65" w:hint="default"/>
      <w:b w:val="0"/>
      <w:bCs w:val="0"/>
      <w:i w:val="0"/>
      <w:iCs w:val="0"/>
      <w:color w:val="231F20"/>
      <w:sz w:val="20"/>
      <w:szCs w:val="20"/>
    </w:rPr>
  </w:style>
  <w:style w:type="character" w:customStyle="1" w:styleId="fontstyle61">
    <w:name w:val="fontstyle61"/>
    <w:basedOn w:val="a0"/>
    <w:rsid w:val="00274C5A"/>
    <w:rPr>
      <w:rFonts w:ascii="KTJ+ZHcD1K-105" w:hAnsi="KTJ+ZHcD1K-105" w:hint="default"/>
      <w:b w:val="0"/>
      <w:bCs w:val="0"/>
      <w:i w:val="0"/>
      <w:iCs w:val="0"/>
      <w:color w:val="231F20"/>
      <w:sz w:val="20"/>
      <w:szCs w:val="20"/>
    </w:rPr>
  </w:style>
  <w:style w:type="character" w:customStyle="1" w:styleId="fontstyle71">
    <w:name w:val="fontstyle71"/>
    <w:basedOn w:val="a0"/>
    <w:rsid w:val="00274C5A"/>
    <w:rPr>
      <w:rFonts w:ascii="KTJ+ZHcD1E-5" w:hAnsi="KTJ+ZHcD1E-5" w:hint="default"/>
      <w:b w:val="0"/>
      <w:bCs w:val="0"/>
      <w:i w:val="0"/>
      <w:iCs w:val="0"/>
      <w:color w:val="231F20"/>
      <w:sz w:val="20"/>
      <w:szCs w:val="20"/>
    </w:rPr>
  </w:style>
  <w:style w:type="character" w:customStyle="1" w:styleId="fontstyle81">
    <w:name w:val="fontstyle81"/>
    <w:basedOn w:val="a0"/>
    <w:rsid w:val="00274C5A"/>
    <w:rPr>
      <w:rFonts w:ascii="KTJ+ZHcD1G-49" w:hAnsi="KTJ+ZHcD1G-49" w:hint="default"/>
      <w:b w:val="0"/>
      <w:bCs w:val="0"/>
      <w:i w:val="0"/>
      <w:iCs w:val="0"/>
      <w:color w:val="231F20"/>
      <w:sz w:val="20"/>
      <w:szCs w:val="20"/>
    </w:rPr>
  </w:style>
  <w:style w:type="character" w:customStyle="1" w:styleId="fontstyle91">
    <w:name w:val="fontstyle91"/>
    <w:basedOn w:val="a0"/>
    <w:rsid w:val="00274C5A"/>
    <w:rPr>
      <w:rFonts w:ascii="KTJ+ZHcD1E-3" w:hAnsi="KTJ+ZHcD1E-3" w:hint="default"/>
      <w:b w:val="0"/>
      <w:bCs w:val="0"/>
      <w:i w:val="0"/>
      <w:iCs w:val="0"/>
      <w:color w:val="231F20"/>
      <w:sz w:val="20"/>
      <w:szCs w:val="20"/>
    </w:rPr>
  </w:style>
  <w:style w:type="character" w:customStyle="1" w:styleId="fontstyle101">
    <w:name w:val="fontstyle101"/>
    <w:basedOn w:val="a0"/>
    <w:rsid w:val="00274C5A"/>
    <w:rPr>
      <w:rFonts w:ascii="KTJ+ZHcD1G-43" w:hAnsi="KTJ+ZHcD1G-43" w:hint="default"/>
      <w:b w:val="0"/>
      <w:bCs w:val="0"/>
      <w:i w:val="0"/>
      <w:iCs w:val="0"/>
      <w:color w:val="231F20"/>
      <w:sz w:val="20"/>
      <w:szCs w:val="20"/>
    </w:rPr>
  </w:style>
  <w:style w:type="character" w:customStyle="1" w:styleId="fontstyle111">
    <w:name w:val="fontstyle111"/>
    <w:basedOn w:val="a0"/>
    <w:rsid w:val="00274C5A"/>
    <w:rPr>
      <w:rFonts w:ascii="KTJ+ZHcD1H-58" w:hAnsi="KTJ+ZHcD1H-58" w:hint="default"/>
      <w:b w:val="0"/>
      <w:bCs w:val="0"/>
      <w:i w:val="0"/>
      <w:iCs w:val="0"/>
      <w:color w:val="231F20"/>
      <w:sz w:val="20"/>
      <w:szCs w:val="20"/>
    </w:rPr>
  </w:style>
  <w:style w:type="character" w:customStyle="1" w:styleId="fontstyle121">
    <w:name w:val="fontstyle121"/>
    <w:basedOn w:val="a0"/>
    <w:rsid w:val="00274C5A"/>
    <w:rPr>
      <w:rFonts w:ascii="KTJ+ZHcD1N-172" w:hAnsi="KTJ+ZHcD1N-172" w:hint="default"/>
      <w:b w:val="0"/>
      <w:bCs w:val="0"/>
      <w:i w:val="0"/>
      <w:iCs w:val="0"/>
      <w:color w:val="231F20"/>
      <w:sz w:val="20"/>
      <w:szCs w:val="20"/>
    </w:rPr>
  </w:style>
  <w:style w:type="character" w:customStyle="1" w:styleId="fontstyle131">
    <w:name w:val="fontstyle131"/>
    <w:basedOn w:val="a0"/>
    <w:rsid w:val="00274C5A"/>
    <w:rPr>
      <w:rFonts w:ascii="KTJ+ZHcD1L-144" w:hAnsi="KTJ+ZHcD1L-144" w:hint="default"/>
      <w:b w:val="0"/>
      <w:bCs w:val="0"/>
      <w:i w:val="0"/>
      <w:iCs w:val="0"/>
      <w:color w:val="231F20"/>
      <w:sz w:val="20"/>
      <w:szCs w:val="20"/>
    </w:rPr>
  </w:style>
  <w:style w:type="character" w:customStyle="1" w:styleId="fontstyle141">
    <w:name w:val="fontstyle141"/>
    <w:basedOn w:val="a0"/>
    <w:rsid w:val="00274C5A"/>
    <w:rPr>
      <w:rFonts w:ascii="KTJ+ZHcD1L-135" w:hAnsi="KTJ+ZHcD1L-135" w:hint="default"/>
      <w:b w:val="0"/>
      <w:bCs w:val="0"/>
      <w:i w:val="0"/>
      <w:iCs w:val="0"/>
      <w:color w:val="231F20"/>
      <w:sz w:val="20"/>
      <w:szCs w:val="20"/>
    </w:rPr>
  </w:style>
  <w:style w:type="character" w:customStyle="1" w:styleId="fontstyle151">
    <w:name w:val="fontstyle151"/>
    <w:basedOn w:val="a0"/>
    <w:rsid w:val="00274C5A"/>
    <w:rPr>
      <w:b w:val="0"/>
      <w:bCs w:val="0"/>
      <w:i w:val="0"/>
      <w:iCs w:val="0"/>
      <w:color w:val="231F20"/>
      <w:sz w:val="12"/>
      <w:szCs w:val="12"/>
    </w:rPr>
  </w:style>
  <w:style w:type="character" w:customStyle="1" w:styleId="fontstyle161">
    <w:name w:val="fontstyle161"/>
    <w:basedOn w:val="a0"/>
    <w:rsid w:val="00274C5A"/>
    <w:rPr>
      <w:rFonts w:ascii="KTJ+ZHcD1g-486" w:hAnsi="KTJ+ZHcD1g-486" w:hint="default"/>
      <w:b w:val="0"/>
      <w:bCs w:val="0"/>
      <w:i w:val="0"/>
      <w:iCs w:val="0"/>
      <w:color w:val="231F20"/>
      <w:sz w:val="20"/>
      <w:szCs w:val="20"/>
    </w:rPr>
  </w:style>
  <w:style w:type="character" w:customStyle="1" w:styleId="fontstyle110">
    <w:name w:val="fontstyle110"/>
    <w:basedOn w:val="a0"/>
    <w:rsid w:val="002F7CE2"/>
    <w:rPr>
      <w:rFonts w:ascii="KTJ+ZHcD1E-3" w:hAnsi="KTJ+ZHcD1E-3" w:hint="default"/>
      <w:b w:val="0"/>
      <w:bCs w:val="0"/>
      <w:i w:val="0"/>
      <w:iCs w:val="0"/>
      <w:color w:val="231F20"/>
      <w:sz w:val="20"/>
      <w:szCs w:val="20"/>
    </w:rPr>
  </w:style>
  <w:style w:type="character" w:customStyle="1" w:styleId="fontstyle171">
    <w:name w:val="fontstyle171"/>
    <w:basedOn w:val="a0"/>
    <w:rsid w:val="002F7CE2"/>
    <w:rPr>
      <w:rFonts w:ascii="KTJ+ZHcD1W-268" w:hAnsi="KTJ+ZHcD1W-268" w:hint="default"/>
      <w:b w:val="0"/>
      <w:bCs w:val="0"/>
      <w:i w:val="0"/>
      <w:iCs w:val="0"/>
      <w:color w:val="231F20"/>
      <w:sz w:val="20"/>
      <w:szCs w:val="20"/>
    </w:rPr>
  </w:style>
  <w:style w:type="character" w:customStyle="1" w:styleId="fontstyle181">
    <w:name w:val="fontstyle181"/>
    <w:basedOn w:val="a0"/>
    <w:rsid w:val="002F7CE2"/>
    <w:rPr>
      <w:b w:val="0"/>
      <w:bCs w:val="0"/>
      <w:i w:val="0"/>
      <w:iCs w:val="0"/>
      <w:color w:val="231F20"/>
      <w:sz w:val="12"/>
      <w:szCs w:val="12"/>
    </w:rPr>
  </w:style>
  <w:style w:type="character" w:customStyle="1" w:styleId="fontstyle191">
    <w:name w:val="fontstyle191"/>
    <w:basedOn w:val="a0"/>
    <w:rsid w:val="002F7CE2"/>
    <w:rPr>
      <w:rFonts w:ascii="KTJ+ZHcD1N-172" w:hAnsi="KTJ+ZHcD1N-172"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370A62E-D01A-44BD-990F-7A3A5F8D61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5</Pages>
  <Words>369</Words>
  <Characters>2105</Characters>
  <Application>Microsoft Office Word</Application>
  <DocSecurity>0</DocSecurity>
  <Lines>17</Lines>
  <Paragraphs>4</Paragraphs>
  <ScaleCrop>false</ScaleCrop>
  <Company>微软中国</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格格</dc:creator>
  <cp:lastModifiedBy>微软用户</cp:lastModifiedBy>
  <cp:revision>9</cp:revision>
  <cp:lastPrinted>2022-05-09T06:07:00Z</cp:lastPrinted>
  <dcterms:created xsi:type="dcterms:W3CDTF">2022-05-09T06:27:00Z</dcterms:created>
  <dcterms:modified xsi:type="dcterms:W3CDTF">2022-10-17T02:43:00Z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098DF0B1A66244488613533C8ED2AA9F</vt:lpwstr>
  </property>
</Properties>
</file>