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四平市铁西区人民法院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华文中宋" w:eastAsia="方正小标宋简体"/>
          <w:b/>
          <w:sz w:val="44"/>
          <w:szCs w:val="44"/>
        </w:rPr>
        <w:t>年司法责任制落实情况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根据最高人民法院《关于进一步全面落实司法责任制的实施意见》以及省高院、市中院关于落实司法责任制改革的相关要求，我院积极推动司法责任制落实工作。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一、加强院庭长对“四类案件”监管。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二、加强审判专业化建设基础上，试行随机分案为主、指定分案为辅的案件分配制度。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三、进入员额法官的院长、副院长、审判委员会专职委员、庭长、副庭长办案。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四、组建刑事、行政（综合）、民事、执行、速裁五个专业法官会议。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五、转变审判委员会运行机制。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六、审判管理办公室定期分析审判质量运行态势，通过案件评查等方式对案件质量进行专业评价。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七、依托信息技术，构建开放动态透明的阳光司法机制。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八、明确司法人员职责、权限和审判责任。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11E"/>
    <w:rsid w:val="001C5A95"/>
    <w:rsid w:val="00260899"/>
    <w:rsid w:val="00494A0B"/>
    <w:rsid w:val="00726638"/>
    <w:rsid w:val="007426AA"/>
    <w:rsid w:val="00A644FC"/>
    <w:rsid w:val="00D0311E"/>
    <w:rsid w:val="00D20B04"/>
    <w:rsid w:val="00D94397"/>
    <w:rsid w:val="20FE3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2020-10-15T01:56:00Z</dcterms:created>
  <dc:creator>微软用户</dc:creator>
  <cp:lastModifiedBy>郭佳慧</cp:lastModifiedBy>
  <dcterms:modified xsi:type="dcterms:W3CDTF">2022-12-01T07:59:08Z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