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铁西区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人民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法院</w:t>
      </w: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  <w:t>第二党支部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36"/>
          <w:szCs w:val="36"/>
          <w:bdr w:val="none" w:color="auto" w:sz="0" w:space="0"/>
          <w:shd w:val="clear" w:fill="FFFFFF"/>
        </w:rPr>
        <w:t>开展防范网络电信诈骗、养老诈骗宣传活动</w:t>
      </w:r>
    </w:p>
    <w:p>
      <w:pPr>
        <w:ind w:firstLine="760" w:firstLineChars="200"/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四平市铁西区人民法院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  <w:lang w:val="en-US" w:eastAsia="zh-CN"/>
        </w:rPr>
        <w:t>第二党支部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走进阳光社区开展防范网络电信诈骗、养老诈骗宣传活动。 活动中，刑事审判庭法官结合案例，生动的向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  <w:t>社区网格员讲解身边电信诈骗、养老诈骗的常见种类、手段、特点，以及遇到各类电信网络诈骗、养老诈骗广大群众应如何防范与应对。希望通过网格员的力量，以点带面，形成以一传十、以十传百的普法效果。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30"/>
          <w:sz w:val="32"/>
          <w:szCs w:val="32"/>
          <w:bdr w:val="none" w:color="auto" w:sz="0" w:space="0"/>
        </w:rPr>
        <w:t>通过座谈，呼吁广大社区群众一定要保护好个人隐私，遇到电信网络诈骗、养老诈骗时要头脑冷静，做到不听、不信、不转账。如遇到可疑情况时，要多与亲属、朋友进行沟通商议或拨打110报警电话，以免遭受不法侵害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222222"/>
          <w:spacing w:val="3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DM5N2E3MmU5ZGJlNjI5NjI3MWExOWU1OWNkMWUifQ=="/>
  </w:docVars>
  <w:rsids>
    <w:rsidRoot w:val="38F8779F"/>
    <w:rsid w:val="38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2022-12-06T06:53:00Z</dcterms:created>
  <dc:creator>Administrator</dc:creator>
  <cp:lastModifiedBy>Administrator</cp:lastModifiedBy>
  <dcterms:modified xsi:type="dcterms:W3CDTF">2022-12-06T06:55:54Z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B0921C65E4CC4C008FC408D96AAE0A1C</vt:lpwstr>
  </property>
</Properties>
</file>